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257"/>
        <w:tblOverlap w:val="never"/>
        <w:tblW w:w="15701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4"/>
        <w:gridCol w:w="3436"/>
        <w:gridCol w:w="2522"/>
        <w:gridCol w:w="2439"/>
        <w:gridCol w:w="3300"/>
      </w:tblGrid>
      <w:tr w:rsidR="006578B0" w:rsidRPr="00CA1076" w:rsidTr="00B55286">
        <w:trPr>
          <w:trHeight w:val="507"/>
        </w:trPr>
        <w:tc>
          <w:tcPr>
            <w:tcW w:w="4004" w:type="dxa"/>
            <w:vMerge w:val="restart"/>
          </w:tcPr>
          <w:p w:rsidR="006578B0" w:rsidRPr="00120A01" w:rsidRDefault="006578B0" w:rsidP="00B55286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  <w:r>
              <w:rPr>
                <w:rFonts w:ascii="Hurme Geometric Sans 1" w:eastAsia="Calibri" w:hAnsi="Hurme Geometric Sans 1"/>
                <w:noProof/>
                <w:color w:val="365F91" w:themeColor="accent1" w:themeShade="BF"/>
                <w:sz w:val="24"/>
                <w:szCs w:val="24"/>
                <w:lang w:eastAsia="tr-TR"/>
              </w:rPr>
              <w:drawing>
                <wp:inline distT="0" distB="0" distL="0" distR="0" wp14:anchorId="216C9AD0" wp14:editId="5E7BD289">
                  <wp:extent cx="1777593" cy="735571"/>
                  <wp:effectExtent l="0" t="0" r="0" b="762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2563" cy="7417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97" w:type="dxa"/>
            <w:gridSpan w:val="3"/>
            <w:vAlign w:val="center"/>
          </w:tcPr>
          <w:p w:rsidR="006578B0" w:rsidRPr="006578B0" w:rsidRDefault="006578B0" w:rsidP="00B55286">
            <w:pPr>
              <w:ind w:right="149"/>
              <w:jc w:val="center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4"/>
                <w:szCs w:val="24"/>
                <w:lang w:eastAsia="tr-TR"/>
              </w:rPr>
            </w:pPr>
            <w:r w:rsidRPr="006578B0">
              <w:rPr>
                <w:rFonts w:ascii="Hurme Geometric Sans 1" w:eastAsia="Times New Roman" w:hAnsi="Hurme Geometric Sans 1"/>
                <w:b/>
                <w:bCs/>
                <w:color w:val="244061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300" w:type="dxa"/>
            <w:vMerge w:val="restart"/>
          </w:tcPr>
          <w:p w:rsidR="006578B0" w:rsidRPr="00120A01" w:rsidRDefault="006578B0" w:rsidP="00B55286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bCs/>
                <w:noProof/>
                <w:color w:val="365F91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4F48BBB8" wp14:editId="3456558A">
                  <wp:extent cx="1675181" cy="745634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672" cy="7467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78B0" w:rsidRPr="00CA1076" w:rsidTr="006578B0">
        <w:trPr>
          <w:trHeight w:val="514"/>
        </w:trPr>
        <w:tc>
          <w:tcPr>
            <w:tcW w:w="4004" w:type="dxa"/>
            <w:vMerge/>
          </w:tcPr>
          <w:p w:rsidR="006578B0" w:rsidRPr="00120A01" w:rsidRDefault="006578B0" w:rsidP="00B55286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397" w:type="dxa"/>
            <w:gridSpan w:val="3"/>
            <w:vAlign w:val="center"/>
          </w:tcPr>
          <w:p w:rsidR="006578B0" w:rsidRPr="006578B0" w:rsidRDefault="006578B0" w:rsidP="00B55286">
            <w:pPr>
              <w:jc w:val="center"/>
              <w:rPr>
                <w:rFonts w:ascii="Hurme Geometric Sans 1" w:eastAsia="Calibri" w:hAnsi="Hurme Geometric Sans 1"/>
                <w:b/>
                <w:color w:val="365F91" w:themeColor="accent1" w:themeShade="BF"/>
                <w:sz w:val="24"/>
                <w:szCs w:val="24"/>
              </w:rPr>
            </w:pPr>
            <w:r w:rsidRPr="006578B0">
              <w:rPr>
                <w:rFonts w:ascii="Hurme Geometric Sans 1" w:eastAsia="Calibri" w:hAnsi="Hurme Geometric Sans 1"/>
                <w:b/>
                <w:color w:val="244061" w:themeColor="accent1" w:themeShade="80"/>
                <w:sz w:val="24"/>
                <w:szCs w:val="24"/>
              </w:rPr>
              <w:t>RİSK TESPİT VE OYLAMA FORMU</w:t>
            </w:r>
          </w:p>
        </w:tc>
        <w:tc>
          <w:tcPr>
            <w:tcW w:w="3300" w:type="dxa"/>
            <w:vMerge/>
          </w:tcPr>
          <w:p w:rsidR="006578B0" w:rsidRPr="00120A01" w:rsidRDefault="006578B0" w:rsidP="00B55286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</w:tr>
      <w:tr w:rsidR="006578B0" w:rsidRPr="00CA1076" w:rsidTr="00B55286">
        <w:trPr>
          <w:trHeight w:val="350"/>
        </w:trPr>
        <w:tc>
          <w:tcPr>
            <w:tcW w:w="4004" w:type="dxa"/>
            <w:vAlign w:val="center"/>
          </w:tcPr>
          <w:p w:rsidR="006578B0" w:rsidRPr="00B30540" w:rsidRDefault="006578B0" w:rsidP="00B55286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244061" w:themeColor="accent1" w:themeShade="80"/>
                <w:sz w:val="20"/>
                <w:szCs w:val="20"/>
                <w:lang w:eastAsia="tr-TR"/>
              </w:rPr>
            </w:pPr>
            <w:r w:rsidRPr="00B30540">
              <w:rPr>
                <w:rFonts w:ascii="Hurme Geometric Sans 1" w:eastAsia="Times New Roman" w:hAnsi="Hurme Geometric Sans 1"/>
                <w:b/>
                <w:bCs/>
                <w:color w:val="244061" w:themeColor="accent1" w:themeShade="80"/>
                <w:sz w:val="20"/>
                <w:szCs w:val="20"/>
                <w:lang w:eastAsia="tr-TR"/>
              </w:rPr>
              <w:t>Dok. Kodu: İK</w:t>
            </w:r>
            <w:r>
              <w:rPr>
                <w:rFonts w:ascii="Hurme Geometric Sans 1" w:eastAsia="Calibri" w:hAnsi="Hurme Geometric Sans 1"/>
                <w:b/>
                <w:bCs/>
                <w:color w:val="244061" w:themeColor="accent1" w:themeShade="80"/>
                <w:sz w:val="20"/>
                <w:szCs w:val="20"/>
                <w:lang w:eastAsia="tr-TR"/>
              </w:rPr>
              <w:t>. FR. RTO. 01</w:t>
            </w:r>
          </w:p>
        </w:tc>
        <w:tc>
          <w:tcPr>
            <w:tcW w:w="3436" w:type="dxa"/>
            <w:vAlign w:val="center"/>
          </w:tcPr>
          <w:p w:rsidR="006578B0" w:rsidRPr="00B30540" w:rsidRDefault="006578B0" w:rsidP="00B55286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244061" w:themeColor="accent1" w:themeShade="80"/>
                <w:sz w:val="20"/>
                <w:szCs w:val="20"/>
                <w:lang w:eastAsia="tr-TR"/>
              </w:rPr>
            </w:pPr>
            <w:r w:rsidRPr="00B30540">
              <w:rPr>
                <w:rFonts w:ascii="Hurme Geometric Sans 1" w:eastAsia="Times New Roman" w:hAnsi="Hurme Geometric Sans 1"/>
                <w:b/>
                <w:bCs/>
                <w:color w:val="244061" w:themeColor="accent1" w:themeShade="80"/>
                <w:sz w:val="20"/>
                <w:szCs w:val="20"/>
                <w:lang w:eastAsia="tr-TR"/>
              </w:rPr>
              <w:t xml:space="preserve">Yay. Tar: </w:t>
            </w:r>
            <w:r w:rsidR="00FF3AC0">
              <w:rPr>
                <w:rFonts w:ascii="Hurme Geometric Sans 1" w:eastAsia="Times New Roman" w:hAnsi="Hurme Geometric Sans 1"/>
                <w:b/>
                <w:bCs/>
                <w:color w:val="244061" w:themeColor="accent1" w:themeShade="80"/>
                <w:sz w:val="20"/>
                <w:szCs w:val="20"/>
                <w:lang w:eastAsia="tr-TR"/>
              </w:rPr>
              <w:t>28.12.2023</w:t>
            </w:r>
          </w:p>
        </w:tc>
        <w:tc>
          <w:tcPr>
            <w:tcW w:w="2522" w:type="dxa"/>
            <w:vAlign w:val="center"/>
          </w:tcPr>
          <w:p w:rsidR="006578B0" w:rsidRPr="00B30540" w:rsidRDefault="006578B0" w:rsidP="00B55286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244061" w:themeColor="accent1" w:themeShade="80"/>
                <w:sz w:val="20"/>
                <w:szCs w:val="20"/>
                <w:lang w:eastAsia="tr-TR"/>
              </w:rPr>
            </w:pPr>
            <w:r w:rsidRPr="00B30540">
              <w:rPr>
                <w:rFonts w:ascii="Hurme Geometric Sans 1" w:eastAsia="Times New Roman" w:hAnsi="Hurme Geometric Sans 1"/>
                <w:b/>
                <w:bCs/>
                <w:color w:val="244061" w:themeColor="accent1" w:themeShade="80"/>
                <w:sz w:val="20"/>
                <w:szCs w:val="20"/>
                <w:lang w:eastAsia="tr-TR"/>
              </w:rPr>
              <w:t xml:space="preserve">Revizyon No: </w:t>
            </w:r>
            <w:r w:rsidR="00C6246C">
              <w:rPr>
                <w:rFonts w:ascii="Hurme Geometric Sans 1" w:eastAsia="Times New Roman" w:hAnsi="Hurme Geometric Sans 1"/>
                <w:b/>
                <w:bCs/>
                <w:color w:val="244061" w:themeColor="accent1" w:themeShade="8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439" w:type="dxa"/>
            <w:vAlign w:val="center"/>
          </w:tcPr>
          <w:p w:rsidR="006578B0" w:rsidRPr="00B30540" w:rsidRDefault="006578B0" w:rsidP="00C6246C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244061" w:themeColor="accent1" w:themeShade="80"/>
                <w:sz w:val="20"/>
                <w:szCs w:val="20"/>
                <w:lang w:eastAsia="tr-TR"/>
              </w:rPr>
            </w:pPr>
            <w:proofErr w:type="spellStart"/>
            <w:r w:rsidRPr="00B30540">
              <w:rPr>
                <w:rFonts w:ascii="Hurme Geometric Sans 1" w:eastAsia="Times New Roman" w:hAnsi="Hurme Geometric Sans 1"/>
                <w:b/>
                <w:bCs/>
                <w:color w:val="244061" w:themeColor="accent1" w:themeShade="80"/>
                <w:sz w:val="20"/>
                <w:szCs w:val="20"/>
                <w:lang w:eastAsia="tr-TR"/>
              </w:rPr>
              <w:t>Rev</w:t>
            </w:r>
            <w:proofErr w:type="spellEnd"/>
            <w:r w:rsidRPr="00B30540">
              <w:rPr>
                <w:rFonts w:ascii="Hurme Geometric Sans 1" w:eastAsia="Times New Roman" w:hAnsi="Hurme Geometric Sans 1"/>
                <w:b/>
                <w:bCs/>
                <w:color w:val="244061" w:themeColor="accent1" w:themeShade="80"/>
                <w:sz w:val="20"/>
                <w:szCs w:val="20"/>
                <w:lang w:eastAsia="tr-TR"/>
              </w:rPr>
              <w:t xml:space="preserve">. Tar: </w:t>
            </w:r>
            <w:r w:rsidR="00C6246C">
              <w:rPr>
                <w:rFonts w:ascii="Hurme Geometric Sans 1" w:eastAsia="Times New Roman" w:hAnsi="Hurme Geometric Sans 1"/>
                <w:b/>
                <w:bCs/>
                <w:color w:val="244061" w:themeColor="accent1" w:themeShade="80"/>
                <w:sz w:val="20"/>
                <w:szCs w:val="20"/>
                <w:lang w:eastAsia="tr-TR"/>
              </w:rPr>
              <w:t>28.12.2023</w:t>
            </w:r>
            <w:bookmarkStart w:id="0" w:name="_GoBack"/>
            <w:bookmarkEnd w:id="0"/>
          </w:p>
        </w:tc>
        <w:tc>
          <w:tcPr>
            <w:tcW w:w="3300" w:type="dxa"/>
            <w:vAlign w:val="center"/>
          </w:tcPr>
          <w:p w:rsidR="006578B0" w:rsidRPr="00B30540" w:rsidRDefault="006578B0" w:rsidP="00B55286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244061" w:themeColor="accent1" w:themeShade="80"/>
                <w:sz w:val="20"/>
                <w:szCs w:val="20"/>
                <w:lang w:eastAsia="tr-TR"/>
              </w:rPr>
            </w:pPr>
            <w:r>
              <w:rPr>
                <w:rFonts w:ascii="Hurme Geometric Sans 1" w:eastAsia="Times New Roman" w:hAnsi="Hurme Geometric Sans 1"/>
                <w:b/>
                <w:bCs/>
                <w:color w:val="244061" w:themeColor="accent1" w:themeShade="80"/>
                <w:sz w:val="20"/>
                <w:szCs w:val="20"/>
                <w:lang w:eastAsia="tr-TR"/>
              </w:rPr>
              <w:t>Sayfa Sayısı: 03</w:t>
            </w:r>
          </w:p>
        </w:tc>
      </w:tr>
    </w:tbl>
    <w:p w:rsidR="00FD3C3B" w:rsidRDefault="00FD3C3B" w:rsidP="006578B0">
      <w:pPr>
        <w:spacing w:after="0"/>
      </w:pPr>
    </w:p>
    <w:tbl>
      <w:tblPr>
        <w:tblW w:w="0" w:type="auto"/>
        <w:tblInd w:w="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366"/>
        <w:gridCol w:w="368"/>
        <w:gridCol w:w="2844"/>
        <w:gridCol w:w="676"/>
        <w:gridCol w:w="3938"/>
        <w:gridCol w:w="353"/>
        <w:gridCol w:w="353"/>
        <w:gridCol w:w="353"/>
        <w:gridCol w:w="353"/>
        <w:gridCol w:w="353"/>
        <w:gridCol w:w="353"/>
        <w:gridCol w:w="1143"/>
        <w:gridCol w:w="353"/>
        <w:gridCol w:w="353"/>
        <w:gridCol w:w="353"/>
        <w:gridCol w:w="353"/>
        <w:gridCol w:w="353"/>
        <w:gridCol w:w="353"/>
        <w:gridCol w:w="1189"/>
        <w:gridCol w:w="637"/>
      </w:tblGrid>
      <w:tr w:rsidR="00FF3AC0" w:rsidRPr="00FF3AC0" w:rsidTr="00FF3AC0">
        <w:trPr>
          <w:trHeight w:val="330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0" w:type="auto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0000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tr-TR"/>
              </w:rPr>
              <w:t>14</w:t>
            </w:r>
          </w:p>
        </w:tc>
      </w:tr>
      <w:tr w:rsidR="00FF3AC0" w:rsidRPr="00FF3AC0" w:rsidTr="00FF3AC0">
        <w:trPr>
          <w:trHeight w:val="330"/>
        </w:trPr>
        <w:tc>
          <w:tcPr>
            <w:tcW w:w="0" w:type="auto"/>
            <w:gridSpan w:val="2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KTÜ/STRATEJİ GELİŞTİRME DAİRE BAŞKANLIĞI</w:t>
            </w:r>
          </w:p>
        </w:tc>
      </w:tr>
      <w:tr w:rsidR="00FF3AC0" w:rsidRPr="00FF3AC0" w:rsidTr="00FF3AC0">
        <w:trPr>
          <w:trHeight w:val="660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Sıra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Referans No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Stratejik Hedef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Birim/ alt birim hedefi</w:t>
            </w:r>
          </w:p>
        </w:tc>
        <w:tc>
          <w:tcPr>
            <w:tcW w:w="0" w:type="auto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Tespit edilen risk</w:t>
            </w:r>
          </w:p>
        </w:tc>
        <w:tc>
          <w:tcPr>
            <w:tcW w:w="0" w:type="auto"/>
            <w:gridSpan w:val="6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Etki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ORTALAMA ETKİ</w:t>
            </w:r>
          </w:p>
        </w:tc>
        <w:tc>
          <w:tcPr>
            <w:tcW w:w="0" w:type="auto"/>
            <w:gridSpan w:val="6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Olasılık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ORTALAMA OLASILIK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Risk Puanı</w:t>
            </w:r>
          </w:p>
        </w:tc>
      </w:tr>
      <w:tr w:rsidR="00FF3AC0" w:rsidRPr="00FF3AC0" w:rsidTr="00FF3AC0">
        <w:trPr>
          <w:trHeight w:val="112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Nuray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Adem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Muhammed (Şeyda Yerine)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Mustafa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Ali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Serdar</w:t>
            </w: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Nuray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Adem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Muhammed (Şeyda Yerine)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Mustafa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Ali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Serdar</w:t>
            </w: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FF3AC0" w:rsidRPr="00FF3AC0" w:rsidTr="00FF3AC0">
        <w:trPr>
          <w:trHeight w:val="510"/>
        </w:trPr>
        <w:tc>
          <w:tcPr>
            <w:tcW w:w="0" w:type="auto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.36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3.3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Üniversitemiz muhasebe kayıtlarının usulüne standartlara uygun, saydam ve erişilebilir şekilde tutulması ve raporlanması</w:t>
            </w:r>
          </w:p>
        </w:tc>
        <w:tc>
          <w:tcPr>
            <w:tcW w:w="0" w:type="auto"/>
            <w:tcBorders>
              <w:top w:val="single" w:sz="8" w:space="0" w:color="0070C0"/>
              <w:left w:val="single" w:sz="8" w:space="0" w:color="0070C0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single" w:sz="8" w:space="0" w:color="0070C0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 xml:space="preserve">Üniversitemiz taşınmaz muhasebe kayıtlarının doğru olmaması sonucu </w:t>
            </w:r>
            <w:proofErr w:type="spellStart"/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sayıştay</w:t>
            </w:r>
            <w:proofErr w:type="spellEnd"/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FF3AC0">
              <w:rPr>
                <w:rFonts w:ascii="Hurme Geometric Sans 1" w:eastAsia="Times New Roman" w:hAnsi="Hurme Geometric Sans 1" w:cs="Calibri"/>
                <w:sz w:val="18"/>
                <w:szCs w:val="18"/>
                <w:lang w:eastAsia="tr-TR"/>
              </w:rPr>
              <w:t>bulgularına konu olması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4,67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3,67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single" w:sz="8" w:space="0" w:color="0070C0"/>
            </w:tcBorders>
            <w:shd w:val="clear" w:color="000000" w:fill="FF0000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17,11</w:t>
            </w:r>
          </w:p>
        </w:tc>
      </w:tr>
      <w:tr w:rsidR="00FF3AC0" w:rsidRPr="00FF3AC0" w:rsidTr="00FF3AC0">
        <w:trPr>
          <w:trHeight w:val="510"/>
        </w:trPr>
        <w:tc>
          <w:tcPr>
            <w:tcW w:w="0" w:type="auto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 xml:space="preserve">Taşınmaz yönetim biriminin </w:t>
            </w:r>
            <w:proofErr w:type="spellStart"/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hünüz</w:t>
            </w:r>
            <w:proofErr w:type="spellEnd"/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 xml:space="preserve"> işlerlik kazanmamış olması. Taşınmaz cins tashih işlemlerinin yapılmamış olması</w:t>
            </w: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FF3AC0" w:rsidRPr="00FF3AC0" w:rsidTr="00FF3AC0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single" w:sz="8" w:space="0" w:color="0070C0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.35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3.3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Kira gelirlerinin takibinin sağlıklı yapılamaması sonucu üniversitemizin gelir kaybına uğraması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4,67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3,83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0070C0"/>
            </w:tcBorders>
            <w:shd w:val="clear" w:color="000000" w:fill="FF0000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17,89</w:t>
            </w:r>
          </w:p>
        </w:tc>
      </w:tr>
      <w:tr w:rsidR="00FF3AC0" w:rsidRPr="00FF3AC0" w:rsidTr="00FF3AC0">
        <w:trPr>
          <w:trHeight w:val="750"/>
        </w:trPr>
        <w:tc>
          <w:tcPr>
            <w:tcW w:w="0" w:type="auto"/>
            <w:vMerge/>
            <w:tcBorders>
              <w:top w:val="nil"/>
              <w:left w:val="single" w:sz="8" w:space="0" w:color="0070C0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(Dış etken) İşlemi yürüten birimlerden düzenli bilgi alınamaması, Hazineye ait</w:t>
            </w:r>
            <w:r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 xml:space="preserve"> taşınmaz üzerindeki işlemlerin</w:t>
            </w: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 xml:space="preserve"> Milli Emlak Müdürlüğünce Yürütülmesi</w:t>
            </w: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0070C0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FF3AC0" w:rsidRPr="00FF3AC0" w:rsidTr="00FF3AC0">
        <w:trPr>
          <w:trHeight w:val="510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SGDB.BDR</w:t>
            </w:r>
            <w:proofErr w:type="gramEnd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3.3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Üniversitemiz harcama birimlerine ait ödemelerin mevzuatına uygun olarak kontrolünün yapılarak ödenmesi</w:t>
            </w:r>
          </w:p>
        </w:tc>
        <w:tc>
          <w:tcPr>
            <w:tcW w:w="0" w:type="auto"/>
            <w:tcBorders>
              <w:top w:val="single" w:sz="8" w:space="0" w:color="0070C0"/>
              <w:left w:val="single" w:sz="8" w:space="0" w:color="0070C0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single" w:sz="8" w:space="0" w:color="0070C0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Ön Mali Kontrole tabi işlemlerin mevzuatı ile ilgili değişikliklerin uygulanmaması sonucu mevzuata aykırı işlem yapılması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4,83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2,17</w:t>
            </w:r>
          </w:p>
        </w:tc>
        <w:tc>
          <w:tcPr>
            <w:tcW w:w="0" w:type="auto"/>
            <w:vMerge w:val="restart"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single" w:sz="8" w:space="0" w:color="0070C0"/>
            </w:tcBorders>
            <w:shd w:val="clear" w:color="000000" w:fill="FFFF00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10,47</w:t>
            </w:r>
          </w:p>
        </w:tc>
      </w:tr>
      <w:tr w:rsidR="00FF3AC0" w:rsidRPr="00FF3AC0" w:rsidTr="00FF3AC0">
        <w:trPr>
          <w:trHeight w:val="9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Gerçekleştirme sürecinde onay belgesinin alınmasıyla başlayıp ödemenin hak sahibine ödenmesine kadar geçen süreçte sorumlu kişilerin kendinden önceki süreci kontrol etmemesi veya dikkat eksikliği  (Görevin gerektirdiği bilgi ve donanıma sahip olmamak)</w:t>
            </w: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0070C0"/>
              <w:left w:val="double" w:sz="6" w:space="0" w:color="auto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FF3AC0" w:rsidRPr="00FF3AC0" w:rsidTr="00FF3AC0">
        <w:trPr>
          <w:trHeight w:val="750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SGDB.BDR</w:t>
            </w:r>
            <w:proofErr w:type="gramEnd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.7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3.3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Mali mevzuatın uygulanması konusunda üniversitemiz harcama birimlerine yönelik eğitim ve rehberlik hizmetlerini geliştirmek</w:t>
            </w: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 xml:space="preserve">Düzenlenen </w:t>
            </w:r>
            <w:r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eğitim faali</w:t>
            </w: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yetlerine katılımın yeterli olmaması sonucunda gerekli yetkinliklerin geliştirilememesi ve görevlerin istenen kalitede yapılamaması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3,50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3,17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shd w:val="clear" w:color="000000" w:fill="FFFF00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11,08</w:t>
            </w:r>
          </w:p>
        </w:tc>
      </w:tr>
      <w:tr w:rsidR="00FF3AC0" w:rsidRPr="00FF3AC0" w:rsidTr="00FF3AC0">
        <w:trPr>
          <w:trHeight w:val="75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Düzenlenen eğitimlere katılımın zorunlu tutulmaması,  Eğitime katılan personelin eğitim sonunda elde ettiği kazanımlardan kurumca faydalanılmaması</w:t>
            </w: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FF3AC0" w:rsidRPr="00FF3AC0" w:rsidTr="00FF3AC0">
        <w:trPr>
          <w:trHeight w:val="780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SGDB.BDR</w:t>
            </w:r>
            <w:proofErr w:type="gramEnd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3.1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Personelin beceri ve yetkinlik düzeyini arttırmak</w:t>
            </w: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Değişime açık olmayan personelin olması nedeniyle hizmetlerin kalitesinin düşmesi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3,00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2,67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shd w:val="clear" w:color="000000" w:fill="92D050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8,00</w:t>
            </w:r>
          </w:p>
        </w:tc>
      </w:tr>
      <w:tr w:rsidR="00FF3AC0" w:rsidRPr="00FF3AC0" w:rsidTr="00FF3AC0">
        <w:trPr>
          <w:trHeight w:val="54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Personel performans değerlendirmesinin olmaması</w:t>
            </w: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FF3AC0" w:rsidRPr="00FF3AC0" w:rsidTr="00FF3AC0">
        <w:trPr>
          <w:trHeight w:val="750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SGDB.BDR</w:t>
            </w:r>
            <w:proofErr w:type="gramEnd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3.1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Personelin beceri ve yetkinlik düzeyini arttırmak</w:t>
            </w: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Personelin iş tatminsizliği ve kurumsal aidiyet eksikliği nedeniyle hizmetlerin istenen kalitede olmaması, operasyonlarda aksamaların yaşanması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3,67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3,33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shd w:val="clear" w:color="000000" w:fill="FFFF00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12,22</w:t>
            </w:r>
          </w:p>
        </w:tc>
      </w:tr>
      <w:tr w:rsidR="00FF3AC0" w:rsidRPr="00FF3AC0" w:rsidTr="00FF3AC0">
        <w:trPr>
          <w:trHeight w:val="51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Başarının ödüllendirilmeyişi, değer görme hissinin olmayışı,  fiziksel alanların yetersizliği, sosyal ve beşeri ilişkilerin/etkinliklerin yetersizliği</w:t>
            </w: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FF3AC0" w:rsidRPr="00FF3AC0" w:rsidTr="00FF3AC0">
        <w:trPr>
          <w:trHeight w:val="735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SGDB.BDR</w:t>
            </w:r>
            <w:proofErr w:type="gramEnd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.6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3.3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Üniversitemiz iç kontrol sistemini geliştirmek</w:t>
            </w: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İç kontrol eylem planı ile uygulamaya konulan standartlar için gerekli eylemlerin güncelliğinin sağlanamaması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2,50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1,67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shd w:val="clear" w:color="000000" w:fill="92D050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4,17</w:t>
            </w:r>
          </w:p>
        </w:tc>
      </w:tr>
      <w:tr w:rsidR="00FF3AC0" w:rsidRPr="00FF3AC0" w:rsidTr="00FF3AC0">
        <w:trPr>
          <w:trHeight w:val="73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İç kontrolün tam anlamıyla sahiplenilmemesi,  bilişim sisteminin olmayışı, eylem planının güncellenme ihtiyacı</w:t>
            </w: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FF3AC0" w:rsidRPr="00FF3AC0" w:rsidTr="00FF3AC0">
        <w:trPr>
          <w:trHeight w:val="750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SGDB.BDR</w:t>
            </w:r>
            <w:proofErr w:type="gramEnd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.1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3.3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Üniversitemiz harcama birimlerine ait ödemelerin mevzuatına uygun olarak kontrolünün yapılarak ödenmesi</w:t>
            </w: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 xml:space="preserve">Birimlerde mali mevzuat ve tahakkuk işlemlerinde yetişmiş personel eksikliği nedeniyle başkanlığımız iş yükünün artması </w:t>
            </w:r>
            <w:proofErr w:type="spellStart"/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operasyonel</w:t>
            </w:r>
            <w:proofErr w:type="spellEnd"/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 xml:space="preserve"> faaliyetlerin aksaması gecikmesi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4,83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3,33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shd w:val="clear" w:color="000000" w:fill="FF0000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16,11</w:t>
            </w:r>
          </w:p>
        </w:tc>
      </w:tr>
      <w:tr w:rsidR="00FF3AC0" w:rsidRPr="00FF3AC0" w:rsidTr="00FF3AC0">
        <w:trPr>
          <w:trHeight w:val="76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Yetişmiş personelin emekli olması. Mevcut personellerin aynı hataları tekrarlaması, birimimize gelmeden önceki süreçlerdeki aksamalar</w:t>
            </w: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FF3AC0" w:rsidRPr="00FF3AC0" w:rsidTr="00FF3AC0">
        <w:trPr>
          <w:trHeight w:val="750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SGDB.BDR</w:t>
            </w:r>
            <w:proofErr w:type="gramEnd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3.3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Stratejik plan ve kalite süreçlerine ilişkin farkındalığı arttırmak</w:t>
            </w: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Kurumsal düzeyde gerçekleşen stratejik plan ve kalite yönetimine ilişkin iyileştirmeler, organizasyon ve faaliyetlerden personelin bilgi sahibi olmaması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2,83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2,00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shd w:val="clear" w:color="000000" w:fill="92D050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5,67</w:t>
            </w:r>
          </w:p>
        </w:tc>
      </w:tr>
      <w:tr w:rsidR="00FF3AC0" w:rsidRPr="00FF3AC0" w:rsidTr="00FF3AC0">
        <w:trPr>
          <w:trHeight w:val="7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Stratejik plan ve kalite süreçlerindeki adımlar konusunda farkındalık ve belli dönemlerde bilgilendirme eğitimi düzenlenmemesi</w:t>
            </w: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FF3AC0" w:rsidRPr="00FF3AC0" w:rsidTr="00FF3AC0">
        <w:trPr>
          <w:trHeight w:val="750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SGDB.BDR</w:t>
            </w:r>
            <w:proofErr w:type="gramEnd"/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.8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3.3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Üniversitemiz harcama birimlerine ait ödemelerin mevzuatına uygun olarak kontrolünün yapılarak ödenmesi</w:t>
            </w: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 xml:space="preserve">Personel ayrılış sürecinin </w:t>
            </w:r>
            <w:proofErr w:type="spellStart"/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iligili</w:t>
            </w:r>
            <w:proofErr w:type="spellEnd"/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 xml:space="preserve"> birimlerde (harcama birimi, personel daire başkanlığı) zamanı</w:t>
            </w:r>
            <w:r w:rsidR="00A96954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nda ve iyi işletilmemesi sonucu</w:t>
            </w: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 xml:space="preserve"> tahsilat sürecinin uzamasına sebebiyet verilmesi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4,67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3,00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shd w:val="clear" w:color="000000" w:fill="FF0000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14,00</w:t>
            </w:r>
          </w:p>
        </w:tc>
      </w:tr>
      <w:tr w:rsidR="00FF3AC0" w:rsidRPr="00FF3AC0" w:rsidTr="00FF3AC0">
        <w:trPr>
          <w:trHeight w:val="6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70C0"/>
              <w:bottom w:val="single" w:sz="8" w:space="0" w:color="0070C0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70C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</w:pPr>
            <w:r w:rsidRPr="00FF3AC0">
              <w:rPr>
                <w:rFonts w:ascii="Hurme Geometric Sans 1" w:eastAsia="Times New Roman" w:hAnsi="Hurme Geometric Sans 1" w:cs="Calibri"/>
                <w:color w:val="000000"/>
                <w:sz w:val="18"/>
                <w:szCs w:val="18"/>
                <w:lang w:eastAsia="tr-TR"/>
              </w:rPr>
              <w:t>Birimlerde yasal sürelerin işletilmemesi, koordinasyon eksikliği</w:t>
            </w: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double" w:sz="6" w:space="0" w:color="auto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:rsidR="00FF3AC0" w:rsidRPr="00FF3AC0" w:rsidRDefault="00FF3AC0" w:rsidP="00FF3A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FF3AC0" w:rsidRDefault="00FF3AC0" w:rsidP="006578B0">
      <w:pPr>
        <w:spacing w:after="0"/>
      </w:pPr>
    </w:p>
    <w:p w:rsidR="00FF3AC0" w:rsidRDefault="00FF3AC0" w:rsidP="006578B0">
      <w:pPr>
        <w:spacing w:after="0"/>
      </w:pPr>
    </w:p>
    <w:sectPr w:rsidR="00FF3AC0" w:rsidSect="006578B0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urme Geometric Sans 1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CA6"/>
    <w:rsid w:val="006578B0"/>
    <w:rsid w:val="00A96954"/>
    <w:rsid w:val="00B96CA6"/>
    <w:rsid w:val="00C6246C"/>
    <w:rsid w:val="00FD3C3B"/>
    <w:rsid w:val="00FF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5BD8F"/>
  <w15:docId w15:val="{0818B972-7118-4000-BF80-167C3433F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7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uozturk@ktu.edu.tr</dc:creator>
  <cp:keywords/>
  <dc:description/>
  <cp:lastModifiedBy>Hp</cp:lastModifiedBy>
  <cp:revision>5</cp:revision>
  <dcterms:created xsi:type="dcterms:W3CDTF">2022-12-14T13:00:00Z</dcterms:created>
  <dcterms:modified xsi:type="dcterms:W3CDTF">2023-12-28T10:32:00Z</dcterms:modified>
</cp:coreProperties>
</file>